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0825" w14:textId="77777777" w:rsidR="004A2835" w:rsidRDefault="00000000">
      <w:pPr>
        <w:spacing w:after="80"/>
      </w:pPr>
      <w:r>
        <w:rPr>
          <w:b/>
          <w:bCs/>
          <w:color w:val="1F3864"/>
          <w:sz w:val="40"/>
          <w:szCs w:val="40"/>
        </w:rPr>
        <w:t>Privacy Notice</w:t>
      </w:r>
    </w:p>
    <w:p w14:paraId="331875AB" w14:textId="77777777" w:rsidR="004A2835" w:rsidRDefault="00000000">
      <w:pPr>
        <w:spacing w:after="40"/>
      </w:pPr>
      <w:r>
        <w:rPr>
          <w:color w:val="2E5BA8"/>
          <w:sz w:val="26"/>
          <w:szCs w:val="26"/>
        </w:rPr>
        <w:t>Temple Employment Law Ltd</w:t>
      </w:r>
    </w:p>
    <w:p w14:paraId="4C66EF1F" w14:textId="77777777" w:rsidR="004A2835" w:rsidRDefault="004A2835">
      <w:pPr>
        <w:pBdr>
          <w:bottom w:val="single" w:sz="6" w:space="1" w:color="2E5BA8"/>
        </w:pBdr>
        <w:spacing w:after="320"/>
      </w:pPr>
    </w:p>
    <w:p w14:paraId="23F05579" w14:textId="77777777" w:rsidR="004A2835" w:rsidRDefault="00000000">
      <w:pPr>
        <w:pStyle w:val="Heading1"/>
      </w:pPr>
      <w:r>
        <w:t>Who we are</w:t>
      </w:r>
    </w:p>
    <w:p w14:paraId="560BDB4C" w14:textId="77777777" w:rsidR="004A2835" w:rsidRDefault="00000000">
      <w:pPr>
        <w:spacing w:after="160"/>
      </w:pPr>
      <w:r>
        <w:t>Temple Employment Law Ltd is a data controller registered with the Information Commissioner’s Office (ICO). We are a specialist employment law practice providing legal services, including direct access barrister services. Our registered ICO number is available on request.</w:t>
      </w:r>
    </w:p>
    <w:p w14:paraId="1FE8D25F" w14:textId="77777777" w:rsidR="004A2835" w:rsidRDefault="00000000">
      <w:pPr>
        <w:spacing w:after="160"/>
      </w:pPr>
      <w:r>
        <w:t xml:space="preserve">For any data protection queries, please contact Sophie Clifford directly at </w:t>
      </w:r>
      <w:r>
        <w:rPr>
          <w:b/>
          <w:bCs/>
        </w:rPr>
        <w:t>sophie.clifford@temple-employment.co.uk</w:t>
      </w:r>
      <w:r>
        <w:t>.</w:t>
      </w:r>
    </w:p>
    <w:p w14:paraId="41DB3F3C" w14:textId="77777777" w:rsidR="004A2835" w:rsidRDefault="00000000">
      <w:pPr>
        <w:pStyle w:val="Heading1"/>
      </w:pPr>
      <w:r>
        <w:t>Do we hold personal data about you?</w:t>
      </w:r>
    </w:p>
    <w:p w14:paraId="1315A788" w14:textId="77777777" w:rsidR="004A2835" w:rsidRDefault="00000000">
      <w:pPr>
        <w:spacing w:after="120"/>
      </w:pPr>
      <w:r>
        <w:t>Possibly, if you are any of the following:</w:t>
      </w:r>
    </w:p>
    <w:p w14:paraId="40C8D1DD" w14:textId="77777777" w:rsidR="004A2835" w:rsidRDefault="00000000">
      <w:pPr>
        <w:pStyle w:val="ListParagraph"/>
        <w:numPr>
          <w:ilvl w:val="0"/>
          <w:numId w:val="2"/>
        </w:numPr>
        <w:spacing w:after="80"/>
      </w:pPr>
      <w:r>
        <w:t>You have had dealings with Temple or Temple’s clients</w:t>
      </w:r>
    </w:p>
    <w:p w14:paraId="7327F3BB" w14:textId="77777777" w:rsidR="004A2835" w:rsidRDefault="00000000">
      <w:pPr>
        <w:pStyle w:val="ListParagraph"/>
        <w:numPr>
          <w:ilvl w:val="0"/>
          <w:numId w:val="2"/>
        </w:numPr>
        <w:spacing w:after="80"/>
      </w:pPr>
      <w:r>
        <w:t>You have contacted Temple for any reason</w:t>
      </w:r>
    </w:p>
    <w:p w14:paraId="5EBE5514" w14:textId="77777777" w:rsidR="004A2835" w:rsidRDefault="00000000">
      <w:pPr>
        <w:pStyle w:val="ListParagraph"/>
        <w:numPr>
          <w:ilvl w:val="0"/>
          <w:numId w:val="2"/>
        </w:numPr>
        <w:spacing w:after="80"/>
      </w:pPr>
      <w:r>
        <w:t>Your personal data is included in any document or correspondence sent to or obtained by Temple</w:t>
      </w:r>
    </w:p>
    <w:p w14:paraId="46D2BBC1" w14:textId="77777777" w:rsidR="004A2835" w:rsidRDefault="00000000">
      <w:pPr>
        <w:pStyle w:val="ListParagraph"/>
        <w:numPr>
          <w:ilvl w:val="0"/>
          <w:numId w:val="2"/>
        </w:numPr>
        <w:spacing w:after="80"/>
      </w:pPr>
      <w:r>
        <w:t>You have visited Temple’s website</w:t>
      </w:r>
    </w:p>
    <w:p w14:paraId="1D79ACA3" w14:textId="77777777" w:rsidR="004A2835" w:rsidRDefault="004A2835">
      <w:pPr>
        <w:spacing w:after="160"/>
      </w:pPr>
    </w:p>
    <w:p w14:paraId="5FE0B4AA" w14:textId="77777777" w:rsidR="004A2835" w:rsidRDefault="00000000">
      <w:pPr>
        <w:pStyle w:val="Heading1"/>
      </w:pPr>
      <w:r>
        <w:t>Why do we obtain personal data about you?</w:t>
      </w:r>
    </w:p>
    <w:p w14:paraId="4A7FDA97" w14:textId="77777777" w:rsidR="004A2835" w:rsidRDefault="00000000">
      <w:pPr>
        <w:spacing w:after="160"/>
      </w:pPr>
      <w:r>
        <w:t xml:space="preserve">Temple only seeks personal data about you </w:t>
      </w:r>
      <w:proofErr w:type="spellStart"/>
      <w:r>
        <w:t>where</w:t>
      </w:r>
      <w:proofErr w:type="spellEnd"/>
      <w:r>
        <w:t>:</w:t>
      </w:r>
    </w:p>
    <w:p w14:paraId="25F19DDC" w14:textId="77777777" w:rsidR="004A2835" w:rsidRDefault="00000000">
      <w:pPr>
        <w:pStyle w:val="ListParagraph"/>
        <w:numPr>
          <w:ilvl w:val="0"/>
          <w:numId w:val="2"/>
        </w:numPr>
        <w:spacing w:after="120"/>
      </w:pPr>
      <w:r>
        <w:t xml:space="preserve">You are a client of Temple (or a client representative). In these </w:t>
      </w:r>
      <w:proofErr w:type="gramStart"/>
      <w:r>
        <w:t>cases</w:t>
      </w:r>
      <w:proofErr w:type="gramEnd"/>
      <w:r>
        <w:t xml:space="preserve"> we may obtain personal data to establish your identity as part of our “Know Your Client” (KYC) obligations. The data might come from you or from public sources and search companies. Temple only uses this data for the prevention of money laundering and terrorist financing.</w:t>
      </w:r>
    </w:p>
    <w:p w14:paraId="4141D3F1" w14:textId="77777777" w:rsidR="004A2835" w:rsidRDefault="00000000">
      <w:pPr>
        <w:pStyle w:val="ListParagraph"/>
        <w:numPr>
          <w:ilvl w:val="0"/>
          <w:numId w:val="2"/>
        </w:numPr>
        <w:spacing w:after="160"/>
      </w:pPr>
      <w:r>
        <w:t xml:space="preserve">You deal with Temple or Temple’s clients. In these </w:t>
      </w:r>
      <w:proofErr w:type="gramStart"/>
      <w:r>
        <w:t>cases</w:t>
      </w:r>
      <w:proofErr w:type="gramEnd"/>
      <w:r>
        <w:t xml:space="preserve"> we may obtain data about you where it is relevant to those dealings. This data might come from you or from public sources.</w:t>
      </w:r>
    </w:p>
    <w:p w14:paraId="156CA849" w14:textId="77777777" w:rsidR="004A2835" w:rsidRDefault="00000000">
      <w:pPr>
        <w:spacing w:after="160"/>
      </w:pPr>
      <w:r>
        <w:t xml:space="preserve">Beyond this, Temple obtains a variety of documents and correspondence in the ordinary course of its business. Personal data about you (particularly names and contact details) might be included in these documents even though you have no direct dealings with Temple. This personal data is not used by Temple other than </w:t>
      </w:r>
      <w:proofErr w:type="gramStart"/>
      <w:r>
        <w:t>as a consequence of</w:t>
      </w:r>
      <w:proofErr w:type="gramEnd"/>
      <w:r>
        <w:t xml:space="preserve"> making ordinary use of the underlying documents.</w:t>
      </w:r>
    </w:p>
    <w:p w14:paraId="0480A2EF" w14:textId="77777777" w:rsidR="004A2835" w:rsidRDefault="00000000">
      <w:pPr>
        <w:spacing w:after="160"/>
      </w:pPr>
      <w:r>
        <w:t>If you visit Temple’s website, website analytics provide us with your IP address and device/browser type, but not your name or physical address.</w:t>
      </w:r>
    </w:p>
    <w:p w14:paraId="55F756F5" w14:textId="77777777" w:rsidR="004A2835" w:rsidRDefault="00000000">
      <w:pPr>
        <w:pStyle w:val="Heading1"/>
      </w:pPr>
      <w:r>
        <w:t>What is our lawful basis for processing personal data?</w:t>
      </w:r>
    </w:p>
    <w:p w14:paraId="0CCFCE52" w14:textId="77777777" w:rsidR="004A2835" w:rsidRDefault="00000000">
      <w:pPr>
        <w:spacing w:after="160"/>
      </w:pPr>
      <w:r>
        <w:t>Temple processes personal data on the following lawful bases under UK GDPR:</w:t>
      </w:r>
    </w:p>
    <w:p w14:paraId="1B2AE70C" w14:textId="77777777" w:rsidR="004A2835" w:rsidRDefault="00000000">
      <w:pPr>
        <w:pStyle w:val="ListParagraph"/>
        <w:numPr>
          <w:ilvl w:val="0"/>
          <w:numId w:val="2"/>
        </w:numPr>
        <w:spacing w:after="80"/>
      </w:pPr>
      <w:r>
        <w:lastRenderedPageBreak/>
        <w:t>Legal compliance — in respect of KYC and anti-money laundering obligations</w:t>
      </w:r>
    </w:p>
    <w:p w14:paraId="57EE873B" w14:textId="77777777" w:rsidR="004A2835" w:rsidRDefault="00000000">
      <w:pPr>
        <w:pStyle w:val="ListParagraph"/>
        <w:numPr>
          <w:ilvl w:val="0"/>
          <w:numId w:val="2"/>
        </w:numPr>
        <w:spacing w:after="80"/>
      </w:pPr>
      <w:r>
        <w:t>Legitimate interests — in respect of ordinary business activities</w:t>
      </w:r>
    </w:p>
    <w:p w14:paraId="74C6D466" w14:textId="77777777" w:rsidR="004A2835" w:rsidRDefault="00000000">
      <w:pPr>
        <w:pStyle w:val="ListParagraph"/>
        <w:numPr>
          <w:ilvl w:val="0"/>
          <w:numId w:val="2"/>
        </w:numPr>
        <w:spacing w:after="80"/>
      </w:pPr>
      <w:r>
        <w:t>Legal claims — under Article 6(1)(f) and Article 9(2)(f) UK GDPR, for the establishment, exercise or defence of legal claims</w:t>
      </w:r>
    </w:p>
    <w:p w14:paraId="0ACF3176" w14:textId="77777777" w:rsidR="004A2835" w:rsidRDefault="004A2835">
      <w:pPr>
        <w:spacing w:after="120"/>
      </w:pPr>
    </w:p>
    <w:p w14:paraId="49A93EA1" w14:textId="77777777" w:rsidR="004A2835" w:rsidRDefault="00000000">
      <w:pPr>
        <w:spacing w:after="160"/>
      </w:pPr>
      <w:r>
        <w:t>Where we process special category data (such as health information, financial data, employment records, or other sensitive personal data), we rely additionally on Schedule 1, paragraph 33 of the Data Protection Act 2018, which permits processing for the purposes of legal proceedings, legal advice, and establishing, exercising or defending legal rights.</w:t>
      </w:r>
    </w:p>
    <w:p w14:paraId="7CD47A41" w14:textId="77777777" w:rsidR="004A2835" w:rsidRDefault="00000000">
      <w:pPr>
        <w:pStyle w:val="Heading1"/>
      </w:pPr>
      <w:r>
        <w:t>Who do we share personal data with?</w:t>
      </w:r>
    </w:p>
    <w:p w14:paraId="7E6312A9" w14:textId="77777777" w:rsidR="004A2835" w:rsidRDefault="00000000">
      <w:pPr>
        <w:spacing w:after="120"/>
      </w:pPr>
      <w:r>
        <w:t>We do not sell personal data or make it generally available. However, we may share it in the following circumstances:</w:t>
      </w:r>
    </w:p>
    <w:p w14:paraId="39CFD1C2" w14:textId="77777777" w:rsidR="004A2835" w:rsidRDefault="00000000">
      <w:pPr>
        <w:pStyle w:val="ListParagraph"/>
        <w:numPr>
          <w:ilvl w:val="0"/>
          <w:numId w:val="2"/>
        </w:numPr>
        <w:spacing w:after="80"/>
      </w:pPr>
      <w:r>
        <w:t>With third parties involved in providing our legal services, where sharing is a necessary part of that activity or cannot reasonably be avoided</w:t>
      </w:r>
    </w:p>
    <w:p w14:paraId="74AEDCC2" w14:textId="77777777" w:rsidR="004A2835" w:rsidRDefault="00000000">
      <w:pPr>
        <w:pStyle w:val="ListParagraph"/>
        <w:numPr>
          <w:ilvl w:val="0"/>
          <w:numId w:val="2"/>
        </w:numPr>
        <w:spacing w:after="80"/>
      </w:pPr>
      <w:r>
        <w:t>With identity verification companies, to verify the identity of clients as required by law</w:t>
      </w:r>
    </w:p>
    <w:p w14:paraId="73580425" w14:textId="77777777" w:rsidR="004A2835" w:rsidRDefault="00000000">
      <w:pPr>
        <w:pStyle w:val="ListParagraph"/>
        <w:numPr>
          <w:ilvl w:val="0"/>
          <w:numId w:val="2"/>
        </w:numPr>
        <w:spacing w:after="80"/>
      </w:pPr>
      <w:r>
        <w:t>With our data processors — external companies whose services we use to operate our practice (see below)</w:t>
      </w:r>
    </w:p>
    <w:p w14:paraId="12A40172" w14:textId="77777777" w:rsidR="004A2835" w:rsidRDefault="00000000">
      <w:pPr>
        <w:pStyle w:val="ListParagraph"/>
        <w:numPr>
          <w:ilvl w:val="0"/>
          <w:numId w:val="2"/>
        </w:numPr>
        <w:spacing w:after="80"/>
      </w:pPr>
      <w:r>
        <w:t>With the police or affected persons, if you do (or intend to do) something which risks injury or harm to others</w:t>
      </w:r>
    </w:p>
    <w:p w14:paraId="38D82B96" w14:textId="77777777" w:rsidR="004A2835" w:rsidRDefault="00000000">
      <w:pPr>
        <w:pStyle w:val="ListParagraph"/>
        <w:numPr>
          <w:ilvl w:val="0"/>
          <w:numId w:val="2"/>
        </w:numPr>
        <w:spacing w:after="80"/>
      </w:pPr>
      <w:r>
        <w:t>As required by a court order or statutory obligation</w:t>
      </w:r>
    </w:p>
    <w:p w14:paraId="580CE3AC" w14:textId="77777777" w:rsidR="004A2835" w:rsidRDefault="004A2835">
      <w:pPr>
        <w:spacing w:after="160"/>
      </w:pPr>
    </w:p>
    <w:p w14:paraId="01871096" w14:textId="77777777" w:rsidR="004A2835" w:rsidRDefault="00000000">
      <w:pPr>
        <w:pStyle w:val="Heading2"/>
      </w:pPr>
      <w:r>
        <w:t>Our data processors</w:t>
      </w:r>
    </w:p>
    <w:p w14:paraId="3593E877" w14:textId="77777777" w:rsidR="004A2835" w:rsidRDefault="00000000">
      <w:pPr>
        <w:spacing w:after="160"/>
      </w:pPr>
      <w:r>
        <w:t>We use the following third-party services that may process personal data on our behalf. Each has been selected on the basis that it provides adequate data protection safeguards:</w:t>
      </w:r>
    </w:p>
    <w:p w14:paraId="0649E9E3" w14:textId="77777777" w:rsidR="004A2835" w:rsidRDefault="00000000">
      <w:pPr>
        <w:pStyle w:val="ListParagraph"/>
        <w:numPr>
          <w:ilvl w:val="0"/>
          <w:numId w:val="2"/>
        </w:numPr>
        <w:spacing w:after="80"/>
      </w:pPr>
      <w:r>
        <w:t>Google Workspace (Gmail, Google Drive) — email and document storage, processed under Google’s UK IDTA-compliant Data Processing Agreement</w:t>
      </w:r>
    </w:p>
    <w:p w14:paraId="5C9E616F" w14:textId="77777777" w:rsidR="004A2835" w:rsidRDefault="00000000">
      <w:pPr>
        <w:pStyle w:val="ListParagraph"/>
        <w:numPr>
          <w:ilvl w:val="0"/>
          <w:numId w:val="2"/>
        </w:numPr>
        <w:spacing w:after="80"/>
      </w:pPr>
      <w:r>
        <w:t>Apple iCloud — document storage</w:t>
      </w:r>
    </w:p>
    <w:p w14:paraId="430CD377" w14:textId="77777777" w:rsidR="004A2835" w:rsidRDefault="00000000">
      <w:pPr>
        <w:pStyle w:val="ListParagraph"/>
        <w:numPr>
          <w:ilvl w:val="0"/>
          <w:numId w:val="2"/>
        </w:numPr>
        <w:spacing w:after="80"/>
      </w:pPr>
      <w:r>
        <w:t>Video conferencing platforms (e.g. Microsoft Teams or Zoom) — remote consultations</w:t>
      </w:r>
    </w:p>
    <w:p w14:paraId="5E194489" w14:textId="77777777" w:rsidR="004A2835" w:rsidRDefault="00000000">
      <w:pPr>
        <w:pStyle w:val="ListParagraph"/>
        <w:numPr>
          <w:ilvl w:val="0"/>
          <w:numId w:val="2"/>
        </w:numPr>
        <w:spacing w:after="80"/>
      </w:pPr>
      <w:r>
        <w:t>Accounting and invoicing software — financial record keeping</w:t>
      </w:r>
    </w:p>
    <w:p w14:paraId="0A67207A" w14:textId="77777777" w:rsidR="004A2835" w:rsidRDefault="00000000">
      <w:pPr>
        <w:pStyle w:val="ListParagraph"/>
        <w:numPr>
          <w:ilvl w:val="0"/>
          <w:numId w:val="2"/>
        </w:numPr>
        <w:spacing w:after="80"/>
      </w:pPr>
      <w:r>
        <w:t>E-signature platform — electronic execution of documents</w:t>
      </w:r>
    </w:p>
    <w:p w14:paraId="3155A098" w14:textId="77777777" w:rsidR="004A2835" w:rsidRDefault="00000000">
      <w:pPr>
        <w:pStyle w:val="ListParagraph"/>
        <w:numPr>
          <w:ilvl w:val="0"/>
          <w:numId w:val="2"/>
        </w:numPr>
        <w:spacing w:after="80"/>
      </w:pPr>
      <w:r>
        <w:t>Harvest — time recording</w:t>
      </w:r>
    </w:p>
    <w:p w14:paraId="3CFEAA81" w14:textId="77777777" w:rsidR="004A2835" w:rsidRDefault="00000000">
      <w:pPr>
        <w:pStyle w:val="ListParagraph"/>
        <w:numPr>
          <w:ilvl w:val="0"/>
          <w:numId w:val="2"/>
        </w:numPr>
        <w:spacing w:after="80"/>
      </w:pPr>
      <w:r>
        <w:t>LexisNexis Protege and Google Gemini for Workspace (Enterprise Tier) — legal research and drafting assistance (see ‘Our use of AI’ below)</w:t>
      </w:r>
    </w:p>
    <w:p w14:paraId="10DFF50D" w14:textId="77777777" w:rsidR="004A2835" w:rsidRDefault="00000000">
      <w:pPr>
        <w:pStyle w:val="ListParagraph"/>
        <w:numPr>
          <w:ilvl w:val="0"/>
          <w:numId w:val="2"/>
        </w:numPr>
        <w:spacing w:after="80"/>
      </w:pPr>
      <w:r>
        <w:t>Freelance support staff — who access case files and documents under a data processing agreement with Temple</w:t>
      </w:r>
    </w:p>
    <w:p w14:paraId="7AC8B38F" w14:textId="77777777" w:rsidR="004A2835" w:rsidRDefault="004A2835">
      <w:pPr>
        <w:spacing w:after="160"/>
      </w:pPr>
    </w:p>
    <w:p w14:paraId="009D6BDD" w14:textId="77777777" w:rsidR="004A2835" w:rsidRDefault="00000000">
      <w:pPr>
        <w:pStyle w:val="Heading1"/>
      </w:pPr>
      <w:r>
        <w:lastRenderedPageBreak/>
        <w:t>Do we transfer personal data outside the UK?</w:t>
      </w:r>
    </w:p>
    <w:p w14:paraId="323FBAF4" w14:textId="77777777" w:rsidR="004A2835" w:rsidRDefault="00000000">
      <w:pPr>
        <w:spacing w:after="160"/>
      </w:pPr>
      <w:r>
        <w:t xml:space="preserve">Temple’s office and IT equipment </w:t>
      </w:r>
      <w:proofErr w:type="gramStart"/>
      <w:r>
        <w:t>is located in</w:t>
      </w:r>
      <w:proofErr w:type="gramEnd"/>
      <w:r>
        <w:t xml:space="preserve"> the UK. We use cloud-based services (including Google Workspace and Apple iCloud) which may store or process data outside the UK. Where this occurs, we ensure that adequate safeguards are in place, including reliance on the UK International Data Transfer Agreement (UK IDTA) or equivalent transfer mechanisms approved by the ICO.</w:t>
      </w:r>
    </w:p>
    <w:p w14:paraId="51F3E8EC" w14:textId="77777777" w:rsidR="004A2835" w:rsidRDefault="00000000">
      <w:pPr>
        <w:pStyle w:val="Heading1"/>
      </w:pPr>
      <w:r>
        <w:t>Our use of artificial intelligence</w:t>
      </w:r>
    </w:p>
    <w:p w14:paraId="153B999D" w14:textId="77777777" w:rsidR="004A2835" w:rsidRDefault="00000000">
      <w:pPr>
        <w:pStyle w:val="Heading2"/>
      </w:pPr>
      <w:r>
        <w:t>Purpose and scope</w:t>
      </w:r>
    </w:p>
    <w:p w14:paraId="2A80DF2C" w14:textId="77777777" w:rsidR="004A2835" w:rsidRDefault="00000000">
      <w:pPr>
        <w:spacing w:after="160"/>
      </w:pPr>
      <w:r>
        <w:t>To enhance the efficiency of our services, we use LexisNexis Protege and Google Gemini for Workspace (Enterprise Tier). These tools assist in organising and summarising voluminous evidence, drafting initial skeletons, chronologies and attendance notes, and conducting preliminary legal research and document comparison.</w:t>
      </w:r>
    </w:p>
    <w:p w14:paraId="2CFE6B3C" w14:textId="77777777" w:rsidR="004A2835" w:rsidRDefault="00000000">
      <w:pPr>
        <w:pStyle w:val="Heading2"/>
      </w:pPr>
      <w:r>
        <w:t>Safeguarding confidentiality (BSB Core Duty 6)</w:t>
      </w:r>
    </w:p>
    <w:p w14:paraId="3764A4E1" w14:textId="77777777" w:rsidR="004A2835" w:rsidRDefault="00000000">
      <w:pPr>
        <w:spacing w:after="120"/>
      </w:pPr>
      <w:r>
        <w:t>We maintain a “closed” digital environment. Our specific Enterprise configuration ensures:</w:t>
      </w:r>
    </w:p>
    <w:p w14:paraId="2B161B8A" w14:textId="77777777" w:rsidR="004A2835" w:rsidRDefault="00000000">
      <w:pPr>
        <w:pStyle w:val="ListParagraph"/>
        <w:numPr>
          <w:ilvl w:val="0"/>
          <w:numId w:val="2"/>
        </w:numPr>
        <w:spacing w:after="80"/>
      </w:pPr>
      <w:r>
        <w:t>No data mining: your client data is not used by the service provider to train or improve global AI models</w:t>
      </w:r>
    </w:p>
    <w:p w14:paraId="0A2B41C5" w14:textId="77777777" w:rsidR="004A2835" w:rsidRDefault="00000000">
      <w:pPr>
        <w:pStyle w:val="ListParagraph"/>
        <w:numPr>
          <w:ilvl w:val="0"/>
          <w:numId w:val="2"/>
        </w:numPr>
        <w:spacing w:after="80"/>
      </w:pPr>
      <w:r>
        <w:t>Privacy of prompts: all interactions stay within the firm’s secure, encrypted tenant</w:t>
      </w:r>
    </w:p>
    <w:p w14:paraId="3886E4BB" w14:textId="77777777" w:rsidR="004A2835" w:rsidRDefault="00000000">
      <w:pPr>
        <w:pStyle w:val="ListParagraph"/>
        <w:numPr>
          <w:ilvl w:val="0"/>
          <w:numId w:val="2"/>
        </w:numPr>
        <w:spacing w:after="80"/>
      </w:pPr>
      <w:r>
        <w:t>No human oversight by third parties: we have disabled settings that would allow service provider personnel to review our prompts</w:t>
      </w:r>
    </w:p>
    <w:p w14:paraId="2A019C52" w14:textId="77777777" w:rsidR="004A2835" w:rsidRDefault="004A2835">
      <w:pPr>
        <w:spacing w:after="160"/>
      </w:pPr>
    </w:p>
    <w:p w14:paraId="1AD6CD15" w14:textId="77777777" w:rsidR="004A2835" w:rsidRDefault="00000000">
      <w:pPr>
        <w:pStyle w:val="Heading2"/>
      </w:pPr>
      <w:r>
        <w:t>Professional competence and verification (BSB Core Duties 1, 3 &amp; 7)</w:t>
      </w:r>
    </w:p>
    <w:p w14:paraId="3D86698F" w14:textId="77777777" w:rsidR="004A2835" w:rsidRDefault="00000000">
      <w:pPr>
        <w:spacing w:after="160"/>
      </w:pPr>
      <w:r>
        <w:t>We are aware that AI can produce inaccurate outputs. We never rely on AI-generated citations or legal conclusions without independent verification against primary sources. The legal analysis, strategy, and advocacy remain the exclusive product of our professional judgment.</w:t>
      </w:r>
    </w:p>
    <w:p w14:paraId="688C5F00" w14:textId="77777777" w:rsidR="004A2835" w:rsidRDefault="00000000">
      <w:pPr>
        <w:pStyle w:val="Heading2"/>
      </w:pPr>
      <w:r>
        <w:t>Transparency and your right to opt out</w:t>
      </w:r>
    </w:p>
    <w:p w14:paraId="6C256AD9" w14:textId="77777777" w:rsidR="004A2835" w:rsidRDefault="00000000">
      <w:pPr>
        <w:spacing w:after="160"/>
      </w:pPr>
      <w:r>
        <w:t>Unless you instruct us otherwise, we will use these secure tools where we believe they provide a benefit to your matter. If you have specific concerns or wish to prohibit the use of AI in your case, please let us know in writing. We will adapt our workflow to your requirements without any impact on the quality of our representation.</w:t>
      </w:r>
    </w:p>
    <w:p w14:paraId="7280FD97" w14:textId="77777777" w:rsidR="004A2835" w:rsidRDefault="00000000">
      <w:pPr>
        <w:pStyle w:val="Heading1"/>
      </w:pPr>
      <w:r>
        <w:t>How long do we retain personal data?</w:t>
      </w:r>
    </w:p>
    <w:p w14:paraId="598D864F" w14:textId="77777777" w:rsidR="004A2835" w:rsidRDefault="00000000">
      <w:pPr>
        <w:spacing w:after="160"/>
      </w:pPr>
      <w:r>
        <w:t>A file will normally be deleted or destroyed six years after the date of last activity. This period reflects the standard limitation periods applicable to employment law matters. The period may be extended where legally necessary — for example, where a matter involves personal injury, a minor, or an ongoing regulatory obligation. Where we extend the retention period, we will document our reasons for doing so.</w:t>
      </w:r>
    </w:p>
    <w:p w14:paraId="256679AA" w14:textId="77777777" w:rsidR="004A2835" w:rsidRDefault="00000000">
      <w:pPr>
        <w:spacing w:after="160"/>
      </w:pPr>
      <w:r>
        <w:lastRenderedPageBreak/>
        <w:t>Deletion covers all formats in which personal data is held, including email, Google Drive, iCloud, and any physical files.</w:t>
      </w:r>
    </w:p>
    <w:p w14:paraId="675636FD" w14:textId="77777777" w:rsidR="004A2835" w:rsidRDefault="00000000">
      <w:pPr>
        <w:pStyle w:val="Heading1"/>
      </w:pPr>
      <w:r>
        <w:t>Your rights</w:t>
      </w:r>
    </w:p>
    <w:p w14:paraId="718865A5" w14:textId="77777777" w:rsidR="004A2835" w:rsidRDefault="00000000">
      <w:pPr>
        <w:spacing w:after="120"/>
      </w:pPr>
      <w:r>
        <w:t xml:space="preserve">Under UK GDPR you have the following rights in respect of personal data we hold about you. More detailed information is available from the ICO website at </w:t>
      </w:r>
      <w:r>
        <w:rPr>
          <w:b/>
          <w:bCs/>
        </w:rPr>
        <w:t>www.ico.org.uk</w:t>
      </w:r>
      <w:r>
        <w:t>:</w:t>
      </w:r>
    </w:p>
    <w:p w14:paraId="18B04DB3" w14:textId="77777777" w:rsidR="004A2835" w:rsidRDefault="00000000">
      <w:pPr>
        <w:pStyle w:val="ListParagraph"/>
        <w:numPr>
          <w:ilvl w:val="0"/>
          <w:numId w:val="2"/>
        </w:numPr>
        <w:spacing w:after="80"/>
      </w:pPr>
      <w:r>
        <w:t>Right to be informed — to know what personal data we hold about you and how we use it (this notice fulfils that obligation)</w:t>
      </w:r>
    </w:p>
    <w:p w14:paraId="3EA18EF0" w14:textId="77777777" w:rsidR="004A2835" w:rsidRDefault="00000000">
      <w:pPr>
        <w:pStyle w:val="ListParagraph"/>
        <w:numPr>
          <w:ilvl w:val="0"/>
          <w:numId w:val="2"/>
        </w:numPr>
        <w:spacing w:after="80"/>
      </w:pPr>
      <w:r>
        <w:t>Right of access — to request a copy of the personal data we hold about you (a Subject Access Request)</w:t>
      </w:r>
    </w:p>
    <w:p w14:paraId="56F56EE5" w14:textId="77777777" w:rsidR="004A2835" w:rsidRDefault="00000000">
      <w:pPr>
        <w:pStyle w:val="ListParagraph"/>
        <w:numPr>
          <w:ilvl w:val="0"/>
          <w:numId w:val="2"/>
        </w:numPr>
        <w:spacing w:after="80"/>
      </w:pPr>
      <w:r>
        <w:t>Right to rectification — to have inaccurate or incomplete personal data corrected</w:t>
      </w:r>
    </w:p>
    <w:p w14:paraId="20AC1BA3" w14:textId="77777777" w:rsidR="004A2835" w:rsidRDefault="00000000">
      <w:pPr>
        <w:pStyle w:val="ListParagraph"/>
        <w:numPr>
          <w:ilvl w:val="0"/>
          <w:numId w:val="2"/>
        </w:numPr>
        <w:spacing w:after="80"/>
      </w:pPr>
      <w:r>
        <w:t>Right to erasure — in certain circumstances, to have your personal data deleted</w:t>
      </w:r>
    </w:p>
    <w:p w14:paraId="05AD0AE5" w14:textId="77777777" w:rsidR="004A2835" w:rsidRDefault="00000000">
      <w:pPr>
        <w:pStyle w:val="ListParagraph"/>
        <w:numPr>
          <w:ilvl w:val="0"/>
          <w:numId w:val="2"/>
        </w:numPr>
        <w:spacing w:after="80"/>
      </w:pPr>
      <w:r>
        <w:t>Right to restriction of processing — in certain circumstances, to limit how we use your data</w:t>
      </w:r>
    </w:p>
    <w:p w14:paraId="5A879C07" w14:textId="77777777" w:rsidR="004A2835" w:rsidRDefault="00000000">
      <w:pPr>
        <w:pStyle w:val="ListParagraph"/>
        <w:numPr>
          <w:ilvl w:val="0"/>
          <w:numId w:val="2"/>
        </w:numPr>
        <w:spacing w:after="80"/>
      </w:pPr>
      <w:r>
        <w:t>Right to data portability — in certain circumstances, to receive your data in a structured, machine-readable format</w:t>
      </w:r>
    </w:p>
    <w:p w14:paraId="1F799229" w14:textId="77777777" w:rsidR="004A2835" w:rsidRDefault="00000000">
      <w:pPr>
        <w:pStyle w:val="ListParagraph"/>
        <w:numPr>
          <w:ilvl w:val="0"/>
          <w:numId w:val="2"/>
        </w:numPr>
        <w:spacing w:after="80"/>
      </w:pPr>
      <w:r>
        <w:t>Right to object — to object to processing based on legitimate interests, or to stop your data being used for direct marketing</w:t>
      </w:r>
    </w:p>
    <w:p w14:paraId="15E8EBAA" w14:textId="77777777" w:rsidR="004A2835" w:rsidRDefault="00000000">
      <w:pPr>
        <w:pStyle w:val="ListParagraph"/>
        <w:numPr>
          <w:ilvl w:val="0"/>
          <w:numId w:val="2"/>
        </w:numPr>
        <w:spacing w:after="80"/>
      </w:pPr>
      <w:r>
        <w:t>Rights in relation to automated decision-making — not to be subject to decisions made solely by automated means where those decisions have a significant effect on you</w:t>
      </w:r>
    </w:p>
    <w:p w14:paraId="23A59826" w14:textId="77777777" w:rsidR="004A2835" w:rsidRDefault="004A2835">
      <w:pPr>
        <w:spacing w:after="160"/>
      </w:pPr>
    </w:p>
    <w:p w14:paraId="22CAB6E8" w14:textId="77777777" w:rsidR="004A2835" w:rsidRDefault="00000000">
      <w:pPr>
        <w:spacing w:after="160"/>
      </w:pPr>
      <w:r>
        <w:t>Please note that some of these rights are subject to limitations and exemptions, including where data is processed for the purposes of legal proceedings or where disclosure would reveal information subject to legal professional privilege.</w:t>
      </w:r>
    </w:p>
    <w:p w14:paraId="55D7B899" w14:textId="77777777" w:rsidR="004A2835" w:rsidRDefault="00000000">
      <w:pPr>
        <w:pStyle w:val="Heading1"/>
      </w:pPr>
      <w:r>
        <w:t>What if I have a complaint?</w:t>
      </w:r>
    </w:p>
    <w:p w14:paraId="4FD1A903" w14:textId="77777777" w:rsidR="004A2835" w:rsidRDefault="00000000">
      <w:pPr>
        <w:spacing w:after="160"/>
      </w:pPr>
      <w:r>
        <w:t xml:space="preserve">Please contact Sophie Clifford directly at </w:t>
      </w:r>
      <w:r>
        <w:rPr>
          <w:b/>
          <w:bCs/>
        </w:rPr>
        <w:t>sophie.clifford@temple-employment.co.uk</w:t>
      </w:r>
      <w:r>
        <w:t xml:space="preserve">. We will endeavour to resolve any concern promptly. If we are unable to resolve your concern to your satisfaction, you have the right to complain to the Information Commissioner’s Office at </w:t>
      </w:r>
      <w:r>
        <w:rPr>
          <w:b/>
          <w:bCs/>
        </w:rPr>
        <w:t>www.ico.org.uk</w:t>
      </w:r>
      <w:r>
        <w:t xml:space="preserve"> or by telephone on 0303 123 1113.</w:t>
      </w:r>
    </w:p>
    <w:p w14:paraId="394DB35A" w14:textId="77777777" w:rsidR="004A2835" w:rsidRDefault="00000000">
      <w:pPr>
        <w:pBdr>
          <w:top w:val="single" w:sz="4" w:space="1" w:color="CCCCCC"/>
        </w:pBdr>
        <w:spacing w:before="320" w:after="80"/>
      </w:pPr>
      <w:r>
        <w:rPr>
          <w:color w:val="888888"/>
          <w:sz w:val="20"/>
          <w:szCs w:val="20"/>
        </w:rPr>
        <w:t>Last reviewed: April 2026</w:t>
      </w:r>
    </w:p>
    <w:p w14:paraId="74E666AC" w14:textId="77777777" w:rsidR="004A2835" w:rsidRDefault="00000000">
      <w:r>
        <w:rPr>
          <w:color w:val="888888"/>
          <w:sz w:val="20"/>
          <w:szCs w:val="20"/>
        </w:rPr>
        <w:t>Temple Employment Law Ltd is registered with the Information Commissioner’s Office as a data controller.</w:t>
      </w:r>
    </w:p>
    <w:sectPr w:rsidR="004A283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20C5"/>
    <w:multiLevelType w:val="hybridMultilevel"/>
    <w:tmpl w:val="C38EBE5E"/>
    <w:lvl w:ilvl="0" w:tplc="B300B1EA">
      <w:start w:val="1"/>
      <w:numFmt w:val="bullet"/>
      <w:lvlText w:val="•"/>
      <w:lvlJc w:val="left"/>
      <w:pPr>
        <w:ind w:left="720" w:hanging="360"/>
      </w:pPr>
      <w:rPr>
        <w:rFonts w:ascii="Arial" w:eastAsia="Arial" w:hAnsi="Arial" w:cs="Arial"/>
      </w:rPr>
    </w:lvl>
    <w:lvl w:ilvl="1" w:tplc="E1841464">
      <w:numFmt w:val="decimal"/>
      <w:lvlText w:val=""/>
      <w:lvlJc w:val="left"/>
    </w:lvl>
    <w:lvl w:ilvl="2" w:tplc="BEA8D132">
      <w:numFmt w:val="decimal"/>
      <w:lvlText w:val=""/>
      <w:lvlJc w:val="left"/>
    </w:lvl>
    <w:lvl w:ilvl="3" w:tplc="2350018C">
      <w:numFmt w:val="decimal"/>
      <w:lvlText w:val=""/>
      <w:lvlJc w:val="left"/>
    </w:lvl>
    <w:lvl w:ilvl="4" w:tplc="9AE83C5E">
      <w:numFmt w:val="decimal"/>
      <w:lvlText w:val=""/>
      <w:lvlJc w:val="left"/>
    </w:lvl>
    <w:lvl w:ilvl="5" w:tplc="45760B1C">
      <w:numFmt w:val="decimal"/>
      <w:lvlText w:val=""/>
      <w:lvlJc w:val="left"/>
    </w:lvl>
    <w:lvl w:ilvl="6" w:tplc="74E04C68">
      <w:numFmt w:val="decimal"/>
      <w:lvlText w:val=""/>
      <w:lvlJc w:val="left"/>
    </w:lvl>
    <w:lvl w:ilvl="7" w:tplc="95DE077E">
      <w:numFmt w:val="decimal"/>
      <w:lvlText w:val=""/>
      <w:lvlJc w:val="left"/>
    </w:lvl>
    <w:lvl w:ilvl="8" w:tplc="E48419C4">
      <w:numFmt w:val="decimal"/>
      <w:lvlText w:val=""/>
      <w:lvlJc w:val="left"/>
    </w:lvl>
  </w:abstractNum>
  <w:abstractNum w:abstractNumId="1" w15:restartNumberingAfterBreak="0">
    <w:nsid w:val="54A054E9"/>
    <w:multiLevelType w:val="hybridMultilevel"/>
    <w:tmpl w:val="7C263D9E"/>
    <w:lvl w:ilvl="0" w:tplc="4C70D6E8">
      <w:start w:val="1"/>
      <w:numFmt w:val="bullet"/>
      <w:lvlText w:val="●"/>
      <w:lvlJc w:val="left"/>
      <w:pPr>
        <w:ind w:left="720" w:hanging="360"/>
      </w:pPr>
    </w:lvl>
    <w:lvl w:ilvl="1" w:tplc="15940D1C">
      <w:start w:val="1"/>
      <w:numFmt w:val="bullet"/>
      <w:lvlText w:val="○"/>
      <w:lvlJc w:val="left"/>
      <w:pPr>
        <w:ind w:left="1440" w:hanging="360"/>
      </w:pPr>
    </w:lvl>
    <w:lvl w:ilvl="2" w:tplc="36B8B03A">
      <w:start w:val="1"/>
      <w:numFmt w:val="bullet"/>
      <w:lvlText w:val="■"/>
      <w:lvlJc w:val="left"/>
      <w:pPr>
        <w:ind w:left="2160" w:hanging="360"/>
      </w:pPr>
    </w:lvl>
    <w:lvl w:ilvl="3" w:tplc="48E026A2">
      <w:start w:val="1"/>
      <w:numFmt w:val="bullet"/>
      <w:lvlText w:val="●"/>
      <w:lvlJc w:val="left"/>
      <w:pPr>
        <w:ind w:left="2880" w:hanging="360"/>
      </w:pPr>
    </w:lvl>
    <w:lvl w:ilvl="4" w:tplc="66AAF484">
      <w:start w:val="1"/>
      <w:numFmt w:val="bullet"/>
      <w:lvlText w:val="○"/>
      <w:lvlJc w:val="left"/>
      <w:pPr>
        <w:ind w:left="3600" w:hanging="360"/>
      </w:pPr>
    </w:lvl>
    <w:lvl w:ilvl="5" w:tplc="FA7E618E">
      <w:start w:val="1"/>
      <w:numFmt w:val="bullet"/>
      <w:lvlText w:val="■"/>
      <w:lvlJc w:val="left"/>
      <w:pPr>
        <w:ind w:left="4320" w:hanging="360"/>
      </w:pPr>
    </w:lvl>
    <w:lvl w:ilvl="6" w:tplc="1CC63EB2">
      <w:start w:val="1"/>
      <w:numFmt w:val="bullet"/>
      <w:lvlText w:val="●"/>
      <w:lvlJc w:val="left"/>
      <w:pPr>
        <w:ind w:left="5040" w:hanging="360"/>
      </w:pPr>
    </w:lvl>
    <w:lvl w:ilvl="7" w:tplc="AD922702">
      <w:start w:val="1"/>
      <w:numFmt w:val="bullet"/>
      <w:lvlText w:val="●"/>
      <w:lvlJc w:val="left"/>
      <w:pPr>
        <w:ind w:left="5760" w:hanging="360"/>
      </w:pPr>
    </w:lvl>
    <w:lvl w:ilvl="8" w:tplc="D714CE8A">
      <w:start w:val="1"/>
      <w:numFmt w:val="bullet"/>
      <w:lvlText w:val="●"/>
      <w:lvlJc w:val="left"/>
      <w:pPr>
        <w:ind w:left="6480" w:hanging="360"/>
      </w:pPr>
    </w:lvl>
  </w:abstractNum>
  <w:num w:numId="1" w16cid:durableId="1099907817">
    <w:abstractNumId w:val="1"/>
    <w:lvlOverride w:ilvl="0">
      <w:startOverride w:val="1"/>
    </w:lvlOverride>
  </w:num>
  <w:num w:numId="2" w16cid:durableId="1534002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35"/>
    <w:rsid w:val="004A2835"/>
    <w:rsid w:val="004D27D4"/>
    <w:rsid w:val="009E4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4F6D90"/>
  <w15:docId w15:val="{B8CF315E-C65D-AE41-9824-4CF95EFC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color w:val="2E5BA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1308</Words>
  <Characters>7180</Characters>
  <Application>Microsoft Office Word</Application>
  <DocSecurity>0</DocSecurity>
  <Lines>152</Lines>
  <Paragraphs>72</Paragraphs>
  <ScaleCrop>false</ScaleCrop>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Sophie Clifford</cp:lastModifiedBy>
  <cp:revision>2</cp:revision>
  <dcterms:created xsi:type="dcterms:W3CDTF">2026-04-22T16:36:00Z</dcterms:created>
  <dcterms:modified xsi:type="dcterms:W3CDTF">2026-04-22T16:36:00Z</dcterms:modified>
</cp:coreProperties>
</file>